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package.core-properties+xml" PartName="/docProps/core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العائلة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الباذنجانية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e_AlHor" w:cs="ae_AlHor" w:eastAsia="ae_AlHor" w:hAnsi="ae_AlHor"/>
          <w:b w:val="1"/>
          <w:sz w:val="28"/>
          <w:szCs w:val="28"/>
          <w:rtl w:val="0"/>
        </w:rPr>
        <w:t xml:space="preserve">Solanaceae (Night Shade Family)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عائلة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تنتشر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نباتاتها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المناطق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الاستوائية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المناطق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المعتدلة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وتشمل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العائلة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75 </w:t>
      </w:r>
      <w:r w:rsidDel="00000000" w:rsidR="00000000" w:rsidRPr="00000000">
        <w:rPr>
          <w:sz w:val="28"/>
          <w:szCs w:val="28"/>
          <w:rtl w:val="1"/>
        </w:rPr>
        <w:t xml:space="preserve">جنس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2000 </w:t>
      </w:r>
      <w:r w:rsidDel="00000000" w:rsidR="00000000" w:rsidRPr="00000000">
        <w:rPr>
          <w:sz w:val="28"/>
          <w:szCs w:val="28"/>
          <w:rtl w:val="1"/>
        </w:rPr>
        <w:t xml:space="preserve">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وتستعمل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نباتاتها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الزينة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الغذاء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الصناعة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الأدوية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وتشمل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العائلة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نباتات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قائمة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متسلقة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شجيرات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أشجار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صغيرة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3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rFonts w:ascii="ae_AlHor" w:cs="ae_AlHor" w:eastAsia="ae_AlHor" w:hAnsi="ae_AlHor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الطماطة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e_AlHor" w:cs="ae_AlHor" w:eastAsia="ae_AlHor" w:hAnsi="ae_AlHor"/>
          <w:b w:val="1"/>
          <w:sz w:val="28"/>
          <w:szCs w:val="28"/>
          <w:rtl w:val="0"/>
        </w:rPr>
        <w:t xml:space="preserve">Tomato</w:t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e_AlHor" w:cs="ae_AlHor" w:eastAsia="ae_AlHor" w:hAnsi="ae_AlHor"/>
          <w:b w:val="1"/>
          <w:sz w:val="28"/>
          <w:szCs w:val="28"/>
          <w:rtl w:val="0"/>
        </w:rPr>
        <w:t xml:space="preserve">Lycopersicon esculentuim Mill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الطماطة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يزرع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حوليا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ويحتاج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للزراعة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النضج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55-65 </w:t>
      </w:r>
      <w:r w:rsidDel="00000000" w:rsidR="00000000" w:rsidRPr="00000000">
        <w:rPr>
          <w:sz w:val="28"/>
          <w:szCs w:val="28"/>
          <w:rtl w:val="1"/>
        </w:rPr>
        <w:t xml:space="preserve">يوما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للأصناف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المبكرة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وبين</w:t>
      </w:r>
      <w:r w:rsidDel="00000000" w:rsidR="00000000" w:rsidRPr="00000000">
        <w:rPr>
          <w:sz w:val="28"/>
          <w:szCs w:val="28"/>
          <w:rtl w:val="1"/>
        </w:rPr>
        <w:t xml:space="preserve"> 85-100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للأصناف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المتأخرة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وتستعمل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طازجة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مطبوخة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الصناعات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الغذائية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7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الجذر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طبيعة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الجذر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الزراعة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زراعة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بذور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الطماطة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مباشرة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شتل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جذر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يمتد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مسافة</w:t>
      </w:r>
      <w:r w:rsidDel="00000000" w:rsidR="00000000" w:rsidRPr="00000000">
        <w:rPr>
          <w:sz w:val="28"/>
          <w:szCs w:val="28"/>
          <w:rtl w:val="1"/>
        </w:rPr>
        <w:t xml:space="preserve"> 60</w:t>
      </w:r>
      <w:r w:rsidDel="00000000" w:rsidR="00000000" w:rsidRPr="00000000">
        <w:rPr>
          <w:sz w:val="28"/>
          <w:szCs w:val="28"/>
          <w:rtl w:val="1"/>
        </w:rPr>
        <w:t xml:space="preserve">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الشتل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البذور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الجذر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يتضرر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الشتل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هنالك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جذور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ليفية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e_AlHor" w:cs="ae_AlHor" w:eastAsia="ae_AlHor" w:hAnsi="ae_AlHor"/>
          <w:sz w:val="28"/>
          <w:szCs w:val="28"/>
          <w:rtl w:val="0"/>
        </w:rPr>
        <w:t xml:space="preserve">Fibrous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كثيفة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وتمتد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معظم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الجذور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20-25</w:t>
      </w:r>
      <w:r w:rsidDel="00000000" w:rsidR="00000000" w:rsidRPr="00000000">
        <w:rPr>
          <w:sz w:val="28"/>
          <w:szCs w:val="28"/>
          <w:rtl w:val="1"/>
        </w:rPr>
        <w:t xml:space="preserve">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سطح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التربة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8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الساق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طبيعة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باختلاف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الأصناف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فمنها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قائم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القائم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e_AlHor" w:cs="ae_AlHor" w:eastAsia="ae_AlHor" w:hAnsi="ae_AlHor"/>
          <w:sz w:val="28"/>
          <w:szCs w:val="28"/>
          <w:rtl w:val="0"/>
        </w:rPr>
        <w:t xml:space="preserve">Semi-Erect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) .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سمك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2.5-4</w:t>
      </w:r>
      <w:r w:rsidDel="00000000" w:rsidR="00000000" w:rsidRPr="00000000">
        <w:rPr>
          <w:sz w:val="28"/>
          <w:szCs w:val="28"/>
          <w:rtl w:val="1"/>
        </w:rPr>
        <w:t xml:space="preserve">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وطوله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60-75 </w:t>
      </w:r>
      <w:r w:rsidDel="00000000" w:rsidR="00000000" w:rsidRPr="00000000">
        <w:rPr>
          <w:sz w:val="28"/>
          <w:szCs w:val="28"/>
          <w:rtl w:val="1"/>
        </w:rPr>
        <w:t xml:space="preserve">وتحتوي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الأفرع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7-10 </w:t>
      </w:r>
      <w:r w:rsidDel="00000000" w:rsidR="00000000" w:rsidRPr="00000000">
        <w:rPr>
          <w:sz w:val="28"/>
          <w:szCs w:val="28"/>
          <w:rtl w:val="1"/>
        </w:rPr>
        <w:t xml:space="preserve">فروع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</w:t>
      </w:r>
      <w:r w:rsidDel="00000000" w:rsidR="00000000" w:rsidRPr="00000000">
        <w:rPr>
          <w:sz w:val="28"/>
          <w:szCs w:val="28"/>
          <w:rtl w:val="1"/>
        </w:rPr>
        <w:t xml:space="preserve"> 180</w:t>
      </w:r>
      <w:r w:rsidDel="00000000" w:rsidR="00000000" w:rsidRPr="00000000">
        <w:rPr>
          <w:sz w:val="28"/>
          <w:szCs w:val="28"/>
          <w:rtl w:val="1"/>
        </w:rPr>
        <w:t xml:space="preserve">سم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9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الأوراق</w:t>
      </w:r>
      <w:r w:rsidDel="00000000" w:rsidR="00000000" w:rsidRPr="00000000">
        <w:rPr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الورقة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مركبة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ريشية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فردية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e_AlHor" w:cs="ae_AlHor" w:eastAsia="ae_AlHor" w:hAnsi="ae_AlHor"/>
          <w:sz w:val="28"/>
          <w:szCs w:val="28"/>
          <w:rtl w:val="0"/>
        </w:rPr>
        <w:t xml:space="preserve">Odd-Pinnate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تتركب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7-9 </w:t>
      </w:r>
      <w:r w:rsidDel="00000000" w:rsidR="00000000" w:rsidRPr="00000000">
        <w:rPr>
          <w:sz w:val="28"/>
          <w:szCs w:val="28"/>
          <w:rtl w:val="1"/>
        </w:rPr>
        <w:t xml:space="preserve">وريقات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ومتبادلة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الورقة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وريقات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صغيرة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وسطح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الوريقات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مغطى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الورقة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مفصصة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الورقة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رائحة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A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الأزهار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اعتياديا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الأزهار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4-12 </w:t>
      </w:r>
      <w:r w:rsidDel="00000000" w:rsidR="00000000" w:rsidRPr="00000000">
        <w:rPr>
          <w:sz w:val="28"/>
          <w:szCs w:val="28"/>
          <w:rtl w:val="1"/>
        </w:rPr>
        <w:t xml:space="preserve">زهرة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وتخرج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الأصناف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المحدودة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النمو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e_AlHor" w:cs="ae_AlHor" w:eastAsia="ae_AlHor" w:hAnsi="ae_AlHor"/>
          <w:sz w:val="28"/>
          <w:szCs w:val="28"/>
          <w:rtl w:val="0"/>
        </w:rPr>
        <w:t xml:space="preserve">Determinate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عقدة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عقدتين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الرئيسي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الأصناف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محدودة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النمو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e_AlHor" w:cs="ae_AlHor" w:eastAsia="ae_AlHor" w:hAnsi="ae_AlHor"/>
          <w:sz w:val="28"/>
          <w:szCs w:val="28"/>
          <w:rtl w:val="0"/>
        </w:rPr>
        <w:t xml:space="preserve">Indeterminate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فتخرج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عقدة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ثالثة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الرئيسي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ويستمر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أنتاج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الأزهار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طالما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الظروف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ملائمة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الأزهار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يتأثر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بالظروف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والصنف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أما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الجانبية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فأنها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تنتهي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زهرية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وتنتج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الزهرية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تكوين</w:t>
      </w:r>
      <w:r w:rsidDel="00000000" w:rsidR="00000000" w:rsidRPr="00000000">
        <w:rPr>
          <w:sz w:val="28"/>
          <w:szCs w:val="28"/>
          <w:rtl w:val="1"/>
        </w:rPr>
        <w:t xml:space="preserve"> 2-4 </w:t>
      </w:r>
      <w:r w:rsidDel="00000000" w:rsidR="00000000" w:rsidRPr="00000000">
        <w:rPr>
          <w:sz w:val="28"/>
          <w:szCs w:val="28"/>
          <w:rtl w:val="1"/>
        </w:rPr>
        <w:t xml:space="preserve">أوراق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B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زهرة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قصير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والكأس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5-10 </w:t>
      </w:r>
      <w:r w:rsidDel="00000000" w:rsidR="00000000" w:rsidRPr="00000000">
        <w:rPr>
          <w:sz w:val="28"/>
          <w:szCs w:val="28"/>
          <w:rtl w:val="1"/>
        </w:rPr>
        <w:t xml:space="preserve">سبلات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لونها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اخضر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والتويج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خمسة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ملتحمة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ولونها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اصفر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الذكرية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خمسة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وتتحد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الخيوط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جزئيا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أنبوبة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تحيط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الأنثوية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الأنثوية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مبيض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يحتوي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البويضات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نهايته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الميسم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C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التلقيح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والإخصاب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تفتح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الزهرة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يستطيل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يندفع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الأنبوبة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المتكية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يحتك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بالمتك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سطحه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حبوب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لقاح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ويحدث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يسمى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بالتلقيح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الذاتي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يستطيل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نضج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حبوب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اللقاح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بعيدا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الأنبوبة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المتكية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التلقيح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ألخلطي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نتيجة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للحشرات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التلقيح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ألخلطي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الطماطة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1-5% </w:t>
      </w:r>
      <w:r w:rsidDel="00000000" w:rsidR="00000000" w:rsidRPr="00000000">
        <w:rPr>
          <w:sz w:val="28"/>
          <w:szCs w:val="28"/>
          <w:rtl w:val="1"/>
        </w:rPr>
        <w:t xml:space="preserve">ويعتمد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أساسا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الظروف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والصنف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يستطيل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المرتفعة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والرطوبة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القليلة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زراعة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الطماطة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إضاءة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البيوت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الزجاجية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البلاستيكية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الشتاء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D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الثمرة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ثمرة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الطماطة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المسماة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الثمرة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2-8 </w:t>
      </w:r>
      <w:r w:rsidDel="00000000" w:rsidR="00000000" w:rsidRPr="00000000">
        <w:rPr>
          <w:sz w:val="28"/>
          <w:szCs w:val="28"/>
          <w:rtl w:val="1"/>
        </w:rPr>
        <w:t xml:space="preserve">حجيرات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e_AlHor" w:cs="ae_AlHor" w:eastAsia="ae_AlHor" w:hAnsi="ae_AlHor"/>
          <w:sz w:val="28"/>
          <w:szCs w:val="28"/>
          <w:rtl w:val="0"/>
        </w:rPr>
        <w:t xml:space="preserve">Loculus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وتختلف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والحجم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الحجيرات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الصنف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البذور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الملتصقة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بجدار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الفجوة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استخلاص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البذور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الثمرة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البذور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القابلية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الإنبات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مباشرة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E">
      <w:pPr>
        <w:bidi w:val="1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الأصناف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هنالك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الأصناف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جربت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زراعتها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وفيما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الأصناف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المحلي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Hor" w:cs="ae_AlHor" w:eastAsia="ae_AlHor" w:hAnsi="ae_AlHo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Local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10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صنف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نباتات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خضري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والنباتات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متفرعة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والصنف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متأخر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النضج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والحاصل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الثمار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مفصصة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منتظمة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وعصيرية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والنبات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محدود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وتحتوي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البذور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ويتحمل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نسبيا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وتعقد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مرتفعة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ماريموند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Hor" w:cs="ae_AlHor" w:eastAsia="ae_AlHor" w:hAnsi="ae_AlHo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Marmande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صنف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منتشر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زراعته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وجنوب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العراق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الثمار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مفصصة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قليلا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والنبات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يعطي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قصيرة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نسبيا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النمو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الخضري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يؤدي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إصابة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بلفحة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الشمس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الثمار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عصيرية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الشحن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لمسافات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والنبات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الذبول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الفيوزيري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e_AlHor" w:cs="ae_AlHor" w:eastAsia="ae_AlHor" w:hAnsi="ae_AlHor"/>
          <w:sz w:val="28"/>
          <w:szCs w:val="28"/>
          <w:rtl w:val="0"/>
        </w:rPr>
        <w:t xml:space="preserve">Fusarium Wilt</w:t>
      </w:r>
      <w:r w:rsidDel="00000000" w:rsidR="00000000" w:rsidRPr="00000000">
        <w:rPr>
          <w:sz w:val="28"/>
          <w:szCs w:val="28"/>
          <w:rtl w:val="0"/>
        </w:rPr>
        <w:t xml:space="preserve">) 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بيرسون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Hor" w:cs="ae_AlHor" w:eastAsia="ae_AlHor" w:hAnsi="ae_AlHo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Pearson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صنف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منتشر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زراعته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محافظة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دهوك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خضري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ونمو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محدود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والثمار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مفرطحة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عميقا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وصلبة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تصلح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للاستهلاك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الطازج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والتعليب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والنبات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الذبول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الفيوزيري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5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الباذنجان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e_AlHor" w:cs="ae_AlHor" w:eastAsia="ae_AlHor" w:hAnsi="ae_AlHor"/>
          <w:b w:val="1"/>
          <w:sz w:val="28"/>
          <w:szCs w:val="28"/>
          <w:rtl w:val="0"/>
        </w:rPr>
        <w:t xml:space="preserve">Eggplant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jc w:val="center"/>
        <w:rPr>
          <w:rFonts w:ascii="ae_AlHor" w:cs="ae_AlHor" w:eastAsia="ae_AlHor" w:hAnsi="ae_AlHor"/>
          <w:b w:val="1"/>
          <w:sz w:val="28"/>
          <w:szCs w:val="28"/>
        </w:rPr>
      </w:pPr>
      <w:r w:rsidDel="00000000" w:rsidR="00000000" w:rsidRPr="00000000">
        <w:rPr>
          <w:rFonts w:ascii="ae_AlHor" w:cs="ae_AlHor" w:eastAsia="ae_AlHor" w:hAnsi="ae_AlHor"/>
          <w:b w:val="1"/>
          <w:sz w:val="28"/>
          <w:szCs w:val="28"/>
          <w:rtl w:val="0"/>
        </w:rPr>
        <w:t xml:space="preserve">Solanum melongena L.</w:t>
      </w:r>
    </w:p>
    <w:p w:rsidR="00000000" w:rsidDel="00000000" w:rsidP="00000000" w:rsidRDefault="00000000" w:rsidRPr="00000000" w14:paraId="00000018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يزرع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الباذنجان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حوليا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تتجدد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زراعته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الأحيان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تعقير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لإنتاج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الباذنجان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الجاث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وتستعمل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الصغيرة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الحجم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التخليل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9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المجموع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الجذري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ينتج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جذر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يمتد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شتل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الباذنجان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الجذر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الوتدي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ينقطع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لتنمو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جذور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جانبية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كثيفة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تتركز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معضمها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سطح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التربة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A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الساق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قائم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وتنمو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الأفرع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الجانبية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75-200</w:t>
      </w:r>
      <w:r w:rsidDel="00000000" w:rsidR="00000000" w:rsidRPr="00000000">
        <w:rPr>
          <w:sz w:val="28"/>
          <w:szCs w:val="28"/>
          <w:rtl w:val="1"/>
        </w:rPr>
        <w:t xml:space="preserve">سم</w:t>
      </w:r>
      <w:r w:rsidDel="00000000" w:rsidR="00000000" w:rsidRPr="00000000">
        <w:rPr>
          <w:sz w:val="28"/>
          <w:szCs w:val="28"/>
          <w:rtl w:val="1"/>
        </w:rPr>
        <w:t xml:space="preserve"> . </w:t>
      </w:r>
    </w:p>
    <w:p w:rsidR="00000000" w:rsidDel="00000000" w:rsidP="00000000" w:rsidRDefault="00000000" w:rsidRPr="00000000" w14:paraId="0000001B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الأوراق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بسيطة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وثخينة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وتنمو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سطح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الورقة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الورقة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بيضوي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الورقة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ملساء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مفصصة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تفصيصا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قليلا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C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الأزهار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والتلقيح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الأزهار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الباذنجان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خنثى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اعتياديا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منفردة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مجاميع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2-4 </w:t>
      </w:r>
      <w:r w:rsidDel="00000000" w:rsidR="00000000" w:rsidRPr="00000000">
        <w:rPr>
          <w:sz w:val="28"/>
          <w:szCs w:val="28"/>
          <w:rtl w:val="1"/>
        </w:rPr>
        <w:t xml:space="preserve">زهرة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خمسة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والتويجية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خمسة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ولونها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بنفسجي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خمسة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ومحيطة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بالقلم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أما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المبيض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كربلتين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ويسود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التلقيح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الذاتي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الباذنجان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هنالك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التلقيح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ألخلطي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بواسطة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الحشرات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D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الثمار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والبذور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الثمرة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حجمها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باختلاف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الأصناف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الحجم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الحجم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الكبير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شكله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الرفيع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المتطاول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أما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الأرجواني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الغامق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الشائع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الأخضر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الفاتح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الأبيض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الأرجواني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المخطط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باللون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الأبيض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الأنواع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كنباتات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زينة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البذور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البذور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يشابه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تقريبا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بذور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الفلفل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حجمها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اصغر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البذور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فاتح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E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الأصناف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الأصناف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جربت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زراعتها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بالإضافة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الأصناف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المحلي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0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صنف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تنتشر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زراعته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معظم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أنحاء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متطاولة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قليلا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ولونها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والحاصل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متوسط</w:t>
      </w:r>
      <w:r w:rsidDel="00000000" w:rsidR="00000000" w:rsidRPr="00000000">
        <w:rPr>
          <w:sz w:val="28"/>
          <w:szCs w:val="28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الموصلي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2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صنف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تنتشر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زراعته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منطقة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الموصل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الثمار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ورفيعة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والحاصل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الثمرة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جيدة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بلاك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بيوتي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Hor" w:cs="ae_AlHor" w:eastAsia="ae_AlHor" w:hAnsi="ae_AlHo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Black Beauty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صنف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أدخلت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زراعته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الخضروات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الزراعة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والغابات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منطقة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العليل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الثمار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متطاولة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ولحمية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ارجواني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والصنف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مبكر</w:t>
      </w:r>
      <w:r w:rsidDel="00000000" w:rsidR="00000000" w:rsidRPr="00000000">
        <w:rPr>
          <w:sz w:val="28"/>
          <w:szCs w:val="28"/>
          <w:rtl w:val="1"/>
        </w:rPr>
        <w:t xml:space="preserve"> .    </w:t>
      </w:r>
    </w:p>
    <w:sectPr>
      <w:pgSz w:h="16838" w:w="11906"/>
      <w:pgMar w:bottom="993" w:top="709" w:left="709" w:right="707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e_AlHo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63FAD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11476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2020-06-07T08:39:00Z</dcterms:created>
  <dc:creator>PHOTO</dc:creator>
</cp:coreProperties>
</file>